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456A" w14:textId="77777777" w:rsidR="00A109C9" w:rsidRDefault="009E46C8">
      <w:pPr>
        <w:spacing w:after="720" w:line="259" w:lineRule="auto"/>
        <w:ind w:left="65" w:firstLine="0"/>
        <w:jc w:val="center"/>
      </w:pPr>
      <w:r>
        <w:rPr>
          <w:sz w:val="30"/>
        </w:rPr>
        <w:t>NOTICE OF SPECIAL TOWN BOARD MEETING</w:t>
      </w:r>
    </w:p>
    <w:p w14:paraId="3874AD5A" w14:textId="77777777" w:rsidR="00A109C9" w:rsidRDefault="009E46C8">
      <w:pPr>
        <w:spacing w:after="453"/>
        <w:ind w:left="6"/>
      </w:pPr>
      <w:r>
        <w:t>A Town Board Meeting will be held at the time and place indicated below. The meeting is open to the public in keeping with Chapter 19, Subchapter V; Wisconsin Statues (open meeting law).</w:t>
      </w:r>
    </w:p>
    <w:tbl>
      <w:tblPr>
        <w:tblStyle w:val="TableGrid"/>
        <w:tblW w:w="9030" w:type="dxa"/>
        <w:tblInd w:w="5" w:type="dxa"/>
        <w:tblCellMar>
          <w:bottom w:w="3" w:type="dxa"/>
        </w:tblCellMar>
        <w:tblLook w:val="04A0" w:firstRow="1" w:lastRow="0" w:firstColumn="1" w:lastColumn="0" w:noHBand="0" w:noVBand="1"/>
      </w:tblPr>
      <w:tblGrid>
        <w:gridCol w:w="2847"/>
        <w:gridCol w:w="6183"/>
      </w:tblGrid>
      <w:tr w:rsidR="00A109C9" w14:paraId="1CF3FFE9" w14:textId="77777777">
        <w:trPr>
          <w:trHeight w:val="349"/>
        </w:trPr>
        <w:tc>
          <w:tcPr>
            <w:tcW w:w="2847" w:type="dxa"/>
            <w:tcBorders>
              <w:top w:val="nil"/>
              <w:left w:val="nil"/>
              <w:bottom w:val="nil"/>
              <w:right w:val="nil"/>
            </w:tcBorders>
          </w:tcPr>
          <w:p w14:paraId="6F2B3839" w14:textId="77777777" w:rsidR="00A109C9" w:rsidRDefault="009E46C8">
            <w:pPr>
              <w:spacing w:after="0" w:line="259" w:lineRule="auto"/>
              <w:ind w:left="11" w:firstLine="0"/>
              <w:jc w:val="left"/>
            </w:pPr>
            <w:r>
              <w:t>Government Unit:</w:t>
            </w:r>
          </w:p>
        </w:tc>
        <w:tc>
          <w:tcPr>
            <w:tcW w:w="6182" w:type="dxa"/>
            <w:tcBorders>
              <w:top w:val="nil"/>
              <w:left w:val="nil"/>
              <w:bottom w:val="nil"/>
              <w:right w:val="nil"/>
            </w:tcBorders>
          </w:tcPr>
          <w:p w14:paraId="6818DD70" w14:textId="77777777" w:rsidR="00A109C9" w:rsidRDefault="009E46C8">
            <w:pPr>
              <w:spacing w:after="0" w:line="259" w:lineRule="auto"/>
              <w:ind w:left="38" w:firstLine="0"/>
              <w:jc w:val="left"/>
            </w:pPr>
            <w:r>
              <w:t>Town of Worcester</w:t>
            </w:r>
          </w:p>
        </w:tc>
      </w:tr>
      <w:tr w:rsidR="00A109C9" w14:paraId="6C4C8463" w14:textId="77777777">
        <w:trPr>
          <w:trHeight w:val="479"/>
        </w:trPr>
        <w:tc>
          <w:tcPr>
            <w:tcW w:w="2847" w:type="dxa"/>
            <w:tcBorders>
              <w:top w:val="nil"/>
              <w:left w:val="nil"/>
              <w:bottom w:val="nil"/>
              <w:right w:val="nil"/>
            </w:tcBorders>
            <w:vAlign w:val="center"/>
          </w:tcPr>
          <w:p w14:paraId="57AD4889" w14:textId="77777777" w:rsidR="00A109C9" w:rsidRDefault="009E46C8">
            <w:pPr>
              <w:spacing w:after="0" w:line="259" w:lineRule="auto"/>
              <w:ind w:left="22" w:firstLine="0"/>
              <w:jc w:val="left"/>
            </w:pPr>
            <w:r>
              <w:t>Date:</w:t>
            </w:r>
          </w:p>
        </w:tc>
        <w:tc>
          <w:tcPr>
            <w:tcW w:w="6182" w:type="dxa"/>
            <w:tcBorders>
              <w:top w:val="nil"/>
              <w:left w:val="nil"/>
              <w:bottom w:val="nil"/>
              <w:right w:val="nil"/>
            </w:tcBorders>
            <w:vAlign w:val="center"/>
          </w:tcPr>
          <w:p w14:paraId="2DC4A722" w14:textId="3E12A932" w:rsidR="00A109C9" w:rsidRDefault="00C32DDA">
            <w:pPr>
              <w:spacing w:after="0" w:line="259" w:lineRule="auto"/>
              <w:ind w:left="60" w:firstLine="0"/>
              <w:jc w:val="left"/>
            </w:pPr>
            <w:r>
              <w:t>Monday, October 18</w:t>
            </w:r>
            <w:r w:rsidR="002F5DA2">
              <w:t>, 202</w:t>
            </w:r>
            <w:r w:rsidR="00972F85">
              <w:t>1</w:t>
            </w:r>
          </w:p>
        </w:tc>
      </w:tr>
      <w:tr w:rsidR="00A109C9" w14:paraId="6634C24F" w14:textId="77777777">
        <w:trPr>
          <w:trHeight w:val="458"/>
        </w:trPr>
        <w:tc>
          <w:tcPr>
            <w:tcW w:w="2847" w:type="dxa"/>
            <w:tcBorders>
              <w:top w:val="nil"/>
              <w:left w:val="nil"/>
              <w:bottom w:val="nil"/>
              <w:right w:val="nil"/>
            </w:tcBorders>
            <w:vAlign w:val="center"/>
          </w:tcPr>
          <w:p w14:paraId="4E7FBD47" w14:textId="77777777" w:rsidR="00A109C9" w:rsidRDefault="009E46C8">
            <w:pPr>
              <w:spacing w:after="0" w:line="259" w:lineRule="auto"/>
              <w:ind w:left="0" w:firstLine="0"/>
              <w:jc w:val="left"/>
            </w:pPr>
            <w:r>
              <w:t>Time:</w:t>
            </w:r>
          </w:p>
        </w:tc>
        <w:tc>
          <w:tcPr>
            <w:tcW w:w="6182" w:type="dxa"/>
            <w:tcBorders>
              <w:top w:val="nil"/>
              <w:left w:val="nil"/>
              <w:bottom w:val="nil"/>
              <w:right w:val="nil"/>
            </w:tcBorders>
            <w:vAlign w:val="center"/>
          </w:tcPr>
          <w:p w14:paraId="158D3B9D" w14:textId="162A8996" w:rsidR="00A109C9" w:rsidRDefault="002F5DA2">
            <w:pPr>
              <w:spacing w:after="0" w:line="259" w:lineRule="auto"/>
              <w:ind w:left="60" w:firstLine="0"/>
              <w:jc w:val="left"/>
            </w:pPr>
            <w:r>
              <w:rPr>
                <w:rFonts w:ascii="Times New Roman" w:eastAsia="Times New Roman" w:hAnsi="Times New Roman" w:cs="Times New Roman"/>
              </w:rPr>
              <w:t>10:00 a.m.</w:t>
            </w:r>
          </w:p>
        </w:tc>
      </w:tr>
      <w:tr w:rsidR="00A109C9" w14:paraId="18479647" w14:textId="77777777">
        <w:trPr>
          <w:trHeight w:val="363"/>
        </w:trPr>
        <w:tc>
          <w:tcPr>
            <w:tcW w:w="2847" w:type="dxa"/>
            <w:tcBorders>
              <w:top w:val="nil"/>
              <w:left w:val="nil"/>
              <w:bottom w:val="nil"/>
              <w:right w:val="nil"/>
            </w:tcBorders>
            <w:vAlign w:val="bottom"/>
          </w:tcPr>
          <w:p w14:paraId="110F4D75" w14:textId="77777777" w:rsidR="00A109C9" w:rsidRDefault="009E46C8">
            <w:pPr>
              <w:spacing w:after="0" w:line="259" w:lineRule="auto"/>
              <w:ind w:firstLine="0"/>
              <w:jc w:val="left"/>
            </w:pPr>
            <w:r>
              <w:t>Place:</w:t>
            </w:r>
          </w:p>
        </w:tc>
        <w:tc>
          <w:tcPr>
            <w:tcW w:w="6182" w:type="dxa"/>
            <w:tcBorders>
              <w:top w:val="nil"/>
              <w:left w:val="nil"/>
              <w:bottom w:val="nil"/>
              <w:right w:val="nil"/>
            </w:tcBorders>
            <w:vAlign w:val="bottom"/>
          </w:tcPr>
          <w:p w14:paraId="131B458B" w14:textId="636B0804" w:rsidR="00A109C9" w:rsidRDefault="003D5873">
            <w:pPr>
              <w:spacing w:after="0" w:line="259" w:lineRule="auto"/>
              <w:ind w:left="54" w:firstLine="0"/>
            </w:pPr>
            <w:r>
              <w:t>Worcester Town Hall</w:t>
            </w:r>
            <w:r w:rsidR="002F5DA2">
              <w:t>, W6985 Springs Drive, Phillips, WI 54555</w:t>
            </w:r>
          </w:p>
        </w:tc>
      </w:tr>
      <w:tr w:rsidR="002F5DA2" w14:paraId="72B21CDB" w14:textId="77777777">
        <w:trPr>
          <w:trHeight w:val="363"/>
        </w:trPr>
        <w:tc>
          <w:tcPr>
            <w:tcW w:w="2847" w:type="dxa"/>
            <w:tcBorders>
              <w:top w:val="nil"/>
              <w:left w:val="nil"/>
              <w:bottom w:val="nil"/>
              <w:right w:val="nil"/>
            </w:tcBorders>
            <w:vAlign w:val="bottom"/>
          </w:tcPr>
          <w:p w14:paraId="1E8DE022" w14:textId="77777777" w:rsidR="002F5DA2" w:rsidRDefault="002F5DA2">
            <w:pPr>
              <w:spacing w:after="0" w:line="259" w:lineRule="auto"/>
              <w:ind w:firstLine="0"/>
              <w:jc w:val="left"/>
            </w:pPr>
          </w:p>
        </w:tc>
        <w:tc>
          <w:tcPr>
            <w:tcW w:w="6182" w:type="dxa"/>
            <w:tcBorders>
              <w:top w:val="nil"/>
              <w:left w:val="nil"/>
              <w:bottom w:val="nil"/>
              <w:right w:val="nil"/>
            </w:tcBorders>
            <w:vAlign w:val="bottom"/>
          </w:tcPr>
          <w:p w14:paraId="43DC3A37" w14:textId="77777777" w:rsidR="002F5DA2" w:rsidRDefault="002F5DA2">
            <w:pPr>
              <w:spacing w:after="0" w:line="259" w:lineRule="auto"/>
              <w:ind w:left="54" w:firstLine="0"/>
            </w:pPr>
          </w:p>
        </w:tc>
      </w:tr>
    </w:tbl>
    <w:p w14:paraId="0D5CDECA" w14:textId="77777777" w:rsidR="00A109C9" w:rsidRDefault="009E46C8">
      <w:pPr>
        <w:ind w:left="6"/>
      </w:pPr>
      <w:r>
        <w:rPr>
          <w:noProof/>
        </w:rPr>
        <w:drawing>
          <wp:inline distT="0" distB="0" distL="0" distR="0" wp14:anchorId="1B212FF3" wp14:editId="63394249">
            <wp:extent cx="3444" cy="3444"/>
            <wp:effectExtent l="0" t="0" r="0" b="0"/>
            <wp:docPr id="1259" name="Picture 1259"/>
            <wp:cNvGraphicFramePr/>
            <a:graphic xmlns:a="http://schemas.openxmlformats.org/drawingml/2006/main">
              <a:graphicData uri="http://schemas.openxmlformats.org/drawingml/2006/picture">
                <pic:pic xmlns:pic="http://schemas.openxmlformats.org/drawingml/2006/picture">
                  <pic:nvPicPr>
                    <pic:cNvPr id="1259" name="Picture 1259"/>
                    <pic:cNvPicPr/>
                  </pic:nvPicPr>
                  <pic:blipFill>
                    <a:blip r:embed="rId5"/>
                    <a:stretch>
                      <a:fillRect/>
                    </a:stretch>
                  </pic:blipFill>
                  <pic:spPr>
                    <a:xfrm>
                      <a:off x="0" y="0"/>
                      <a:ext cx="3444" cy="3444"/>
                    </a:xfrm>
                    <a:prstGeom prst="rect">
                      <a:avLst/>
                    </a:prstGeom>
                  </pic:spPr>
                </pic:pic>
              </a:graphicData>
            </a:graphic>
          </wp:inline>
        </w:drawing>
      </w:r>
      <w:r>
        <w:t>AGENDA:</w:t>
      </w:r>
    </w:p>
    <w:p w14:paraId="3EDB9950" w14:textId="77777777" w:rsidR="00A109C9" w:rsidRDefault="009E46C8">
      <w:pPr>
        <w:numPr>
          <w:ilvl w:val="0"/>
          <w:numId w:val="1"/>
        </w:numPr>
        <w:spacing w:after="39"/>
        <w:ind w:left="737" w:hanging="363"/>
      </w:pPr>
      <w:r>
        <w:rPr>
          <w:noProof/>
        </w:rPr>
        <mc:AlternateContent>
          <mc:Choice Requires="wpg">
            <w:drawing>
              <wp:anchor distT="0" distB="0" distL="114300" distR="114300" simplePos="0" relativeHeight="251658240" behindDoc="0" locked="0" layoutInCell="1" allowOverlap="1" wp14:anchorId="26B0CF86" wp14:editId="68161BD2">
                <wp:simplePos x="0" y="0"/>
                <wp:positionH relativeFrom="page">
                  <wp:posOffset>1115754</wp:posOffset>
                </wp:positionH>
                <wp:positionV relativeFrom="page">
                  <wp:posOffset>10005326</wp:posOffset>
                </wp:positionV>
                <wp:extent cx="6649759" cy="6889"/>
                <wp:effectExtent l="0" t="0" r="0" b="0"/>
                <wp:wrapTopAndBottom/>
                <wp:docPr id="2698" name="Group 2698"/>
                <wp:cNvGraphicFramePr/>
                <a:graphic xmlns:a="http://schemas.openxmlformats.org/drawingml/2006/main">
                  <a:graphicData uri="http://schemas.microsoft.com/office/word/2010/wordprocessingGroup">
                    <wpg:wgp>
                      <wpg:cNvGrpSpPr/>
                      <wpg:grpSpPr>
                        <a:xfrm>
                          <a:off x="0" y="0"/>
                          <a:ext cx="6649759" cy="6889"/>
                          <a:chOff x="0" y="0"/>
                          <a:chExt cx="6649759" cy="6889"/>
                        </a:xfrm>
                      </wpg:grpSpPr>
                      <wps:wsp>
                        <wps:cNvPr id="2697" name="Shape 2697"/>
                        <wps:cNvSpPr/>
                        <wps:spPr>
                          <a:xfrm>
                            <a:off x="0" y="0"/>
                            <a:ext cx="6649759" cy="6889"/>
                          </a:xfrm>
                          <a:custGeom>
                            <a:avLst/>
                            <a:gdLst/>
                            <a:ahLst/>
                            <a:cxnLst/>
                            <a:rect l="0" t="0" r="0" b="0"/>
                            <a:pathLst>
                              <a:path w="6649759" h="6889">
                                <a:moveTo>
                                  <a:pt x="0" y="3445"/>
                                </a:moveTo>
                                <a:lnTo>
                                  <a:pt x="6649759" y="3445"/>
                                </a:lnTo>
                              </a:path>
                            </a:pathLst>
                          </a:custGeom>
                          <a:ln w="688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0CFEB36" id="Group 2698" o:spid="_x0000_s1026" style="position:absolute;margin-left:87.85pt;margin-top:787.8pt;width:523.6pt;height:.55pt;z-index:251658240;mso-position-horizontal-relative:page;mso-position-vertical-relative:page" coordsize="6649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">
                <v:shape id="Shape 2697" o:spid="_x0000_s1027" style="position:absolute;width:66497;height:68;visibility:visible;mso-wrap-style:square;v-text-anchor:top" coordsize="6649759,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" path="m,3445r6649759,e" filled="f" strokeweight=".19136mm">
                  <v:stroke miterlimit="1" joinstyle="miter"/>
                  <v:path arrowok="t" textboxrect="0,0,6649759,6889"/>
                </v:shape>
                <w10:wrap type="topAndBottom" anchorx="page" anchory="page"/>
              </v:group>
            </w:pict>
          </mc:Fallback>
        </mc:AlternateContent>
      </w:r>
      <w:r>
        <w:t>Call to order</w:t>
      </w:r>
    </w:p>
    <w:p w14:paraId="0995792B" w14:textId="7DC1B75A" w:rsidR="00A109C9" w:rsidRPr="00050C29" w:rsidRDefault="009E46C8">
      <w:pPr>
        <w:numPr>
          <w:ilvl w:val="0"/>
          <w:numId w:val="1"/>
        </w:numPr>
        <w:spacing w:after="26"/>
        <w:ind w:left="737" w:hanging="363"/>
        <w:rPr>
          <w:color w:val="auto"/>
        </w:rPr>
      </w:pPr>
      <w:r>
        <w:t>Consideration of Motion to Adjourn to Closed Session pursuant to Wisconsin Statutes Section 19.85 (l)(g) for the purpose of conferring with legal counsel for the Town who is rendering legal advice concerning strategy to be adopted by the Town Board with respect to litigation on the Open Records Violatio</w:t>
      </w:r>
      <w:r w:rsidR="005B56B2">
        <w:t>n</w:t>
      </w:r>
      <w:r w:rsidR="002F5DA2">
        <w:t xml:space="preserve"> </w:t>
      </w:r>
      <w:r w:rsidR="00050C29" w:rsidRPr="00050C29">
        <w:rPr>
          <w:color w:val="auto"/>
          <w:shd w:val="clear" w:color="auto" w:fill="FFFFFF"/>
        </w:rPr>
        <w:t xml:space="preserve">– Sleck v. Town of </w:t>
      </w:r>
      <w:r w:rsidR="009649EC" w:rsidRPr="00050C29">
        <w:rPr>
          <w:color w:val="auto"/>
          <w:shd w:val="clear" w:color="auto" w:fill="FFFFFF"/>
        </w:rPr>
        <w:t>Worcester</w:t>
      </w:r>
      <w:r w:rsidR="009649EC">
        <w:rPr>
          <w:color w:val="auto"/>
          <w:shd w:val="clear" w:color="auto" w:fill="FFFFFF"/>
        </w:rPr>
        <w:t xml:space="preserve">, </w:t>
      </w:r>
      <w:r w:rsidR="009649EC" w:rsidRPr="00050C29">
        <w:rPr>
          <w:color w:val="auto"/>
          <w:shd w:val="clear" w:color="auto" w:fill="FFFFFF"/>
        </w:rPr>
        <w:t>Price</w:t>
      </w:r>
      <w:r w:rsidR="00050C29" w:rsidRPr="00050C29">
        <w:rPr>
          <w:color w:val="auto"/>
          <w:shd w:val="clear" w:color="auto" w:fill="FFFFFF"/>
        </w:rPr>
        <w:t xml:space="preserve"> County Case 2020CV74</w:t>
      </w:r>
      <w:r w:rsidR="00500272">
        <w:rPr>
          <w:color w:val="auto"/>
          <w:shd w:val="clear" w:color="auto" w:fill="FFFFFF"/>
        </w:rPr>
        <w:t>.</w:t>
      </w:r>
    </w:p>
    <w:p w14:paraId="465617B3" w14:textId="77777777" w:rsidR="00A109C9" w:rsidRDefault="009E46C8">
      <w:pPr>
        <w:numPr>
          <w:ilvl w:val="0"/>
          <w:numId w:val="1"/>
        </w:numPr>
        <w:spacing w:after="34"/>
        <w:ind w:left="737" w:hanging="363"/>
      </w:pPr>
      <w:r>
        <w:t>Return to Open Session</w:t>
      </w:r>
    </w:p>
    <w:p w14:paraId="1165B346" w14:textId="543B4A6A" w:rsidR="009E46C8" w:rsidRDefault="009E46C8" w:rsidP="009E46C8">
      <w:pPr>
        <w:numPr>
          <w:ilvl w:val="0"/>
          <w:numId w:val="1"/>
        </w:numPr>
        <w:spacing w:after="0"/>
        <w:ind w:left="737" w:hanging="363"/>
      </w:pPr>
      <w:r>
        <w:t>Motion on Action, if any, to be taken as a result of the Closed Session</w:t>
      </w:r>
    </w:p>
    <w:p w14:paraId="6FD806E4" w14:textId="4C172F30" w:rsidR="00A109C9" w:rsidRDefault="009E46C8">
      <w:pPr>
        <w:numPr>
          <w:ilvl w:val="0"/>
          <w:numId w:val="1"/>
        </w:numPr>
        <w:spacing w:after="668"/>
        <w:ind w:left="737" w:hanging="363"/>
      </w:pPr>
      <w:r>
        <w:t xml:space="preserve"> Motion to Adjourn Meeting</w:t>
      </w:r>
    </w:p>
    <w:p w14:paraId="4D8D4300" w14:textId="77777777" w:rsidR="00A109C9" w:rsidRDefault="009E46C8">
      <w:pPr>
        <w:ind w:left="6" w:right="277"/>
      </w:pPr>
      <w:r>
        <w:t>Requests from persons with disabilities who need assistance to participate in this meeting or hearing should be made to the Town Chairperson at 715-339-3430 with as much advance notice as possible.</w:t>
      </w:r>
    </w:p>
    <w:p w14:paraId="3F503FAD" w14:textId="2532BD4A" w:rsidR="00A109C9" w:rsidRDefault="009E46C8">
      <w:pPr>
        <w:ind w:left="6"/>
      </w:pPr>
      <w:r>
        <w:t xml:space="preserve">Posted </w:t>
      </w:r>
      <w:r w:rsidR="00C32DDA">
        <w:t xml:space="preserve">Thursday, </w:t>
      </w:r>
      <w:r w:rsidR="00CE6656">
        <w:t>October 14, 2021</w:t>
      </w:r>
    </w:p>
    <w:p w14:paraId="04A7A02D" w14:textId="77777777" w:rsidR="00A109C9" w:rsidRDefault="009E46C8">
      <w:pPr>
        <w:ind w:left="6"/>
      </w:pPr>
      <w:r>
        <w:t>Town Hall- Recycling Center-Comfort Cove Resort</w:t>
      </w:r>
    </w:p>
    <w:p w14:paraId="2DB88709" w14:textId="43A304A2" w:rsidR="00A109C9" w:rsidRDefault="003D5873">
      <w:pPr>
        <w:ind w:left="6"/>
      </w:pPr>
      <w:r>
        <w:t>Jim Heizler</w:t>
      </w:r>
      <w:r w:rsidR="009E46C8">
        <w:t>, Town Chairman</w:t>
      </w:r>
    </w:p>
    <w:sectPr w:rsidR="00A109C9" w:rsidSect="00124CC7">
      <w:pgSz w:w="12240" w:h="15840" w:code="1"/>
      <w:pgMar w:top="1440" w:right="1535" w:bottom="1440" w:left="138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D36FF"/>
    <w:multiLevelType w:val="hybridMultilevel"/>
    <w:tmpl w:val="03925434"/>
    <w:lvl w:ilvl="0" w:tplc="CF6CF952">
      <w:start w:val="1"/>
      <w:numFmt w:val="decimal"/>
      <w:lvlText w:val="%1)"/>
      <w:lvlJc w:val="left"/>
      <w:pPr>
        <w:ind w:left="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2A987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740EF8">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90B314">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FEC16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8282E8">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0F954">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1C6866">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6EC6A4">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9C9"/>
    <w:rsid w:val="00050C29"/>
    <w:rsid w:val="00124CC7"/>
    <w:rsid w:val="002F5DA2"/>
    <w:rsid w:val="003D5873"/>
    <w:rsid w:val="00500272"/>
    <w:rsid w:val="005B56B2"/>
    <w:rsid w:val="009649EC"/>
    <w:rsid w:val="00972F85"/>
    <w:rsid w:val="009E46C8"/>
    <w:rsid w:val="00A109C9"/>
    <w:rsid w:val="00B166E7"/>
    <w:rsid w:val="00C32DDA"/>
    <w:rsid w:val="00CE6656"/>
    <w:rsid w:val="00D3482A"/>
    <w:rsid w:val="00E64CB1"/>
    <w:rsid w:val="00F5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9F9C"/>
  <w15:docId w15:val="{7FA7D969-7BA0-4A82-B8E6-084FDFDE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3" w:line="266" w:lineRule="auto"/>
      <w:ind w:left="16" w:hanging="5"/>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Worcester Sheila Hook, Clerk</dc:creator>
  <cp:keywords/>
  <cp:lastModifiedBy>Town of Worcester</cp:lastModifiedBy>
  <cp:revision>4</cp:revision>
  <cp:lastPrinted>2021-01-11T16:02:00Z</cp:lastPrinted>
  <dcterms:created xsi:type="dcterms:W3CDTF">2021-10-14T14:52:00Z</dcterms:created>
  <dcterms:modified xsi:type="dcterms:W3CDTF">2021-10-14T14:54:00Z</dcterms:modified>
</cp:coreProperties>
</file>